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96" w:type="dxa"/>
        <w:tblLook w:val="04A0" w:firstRow="1" w:lastRow="0" w:firstColumn="1" w:lastColumn="0" w:noHBand="0" w:noVBand="1"/>
      </w:tblPr>
      <w:tblGrid>
        <w:gridCol w:w="3256"/>
        <w:gridCol w:w="11340"/>
      </w:tblGrid>
      <w:tr w:rsidR="004F6F58" w:rsidRPr="004F6F58" w14:paraId="660829EA" w14:textId="77777777" w:rsidTr="004F6F58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3251A" w14:textId="77777777" w:rsidR="004F6F58" w:rsidRPr="004F6F58" w:rsidRDefault="004F6F58" w:rsidP="004F6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Параметры</w:t>
            </w: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3515" w14:textId="77777777" w:rsidR="004F6F58" w:rsidRPr="004F6F58" w:rsidRDefault="004F6F58" w:rsidP="004F6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</w:tr>
      <w:tr w:rsidR="004F6F58" w:rsidRPr="004F6F58" w14:paraId="28E1F0EA" w14:textId="77777777" w:rsidTr="004F6F58">
        <w:trPr>
          <w:trHeight w:val="241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D431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4201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поручительств по кредитным договорам/договорам банковской гарантии/договорам лизинга</w:t>
            </w:r>
          </w:p>
        </w:tc>
      </w:tr>
      <w:tr w:rsidR="004F6F58" w:rsidRPr="004F6F58" w14:paraId="3DF4E58C" w14:textId="77777777" w:rsidTr="000F7C19">
        <w:trPr>
          <w:trHeight w:val="861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FE98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аудитория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943" w14:textId="53F207EC" w:rsidR="004F6F58" w:rsidRPr="004F6F58" w:rsidRDefault="000F7C19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7C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Субъекты малого и среднего предпринимательства, зарегистрированные в соответствии с действующим законодательством Российской Федерации и осуществляющие свою деятельность на территории Ивановской области, физические лица, применяющие специальный налоговый режим «Налог на профессиональный доход» и ведущие деятельность на территории Ивановской области, соответствующие критериям, установленными Порядком предоставления поручительств по обязательствам субъектов малого и среднего предпринимательства</w:t>
            </w:r>
          </w:p>
        </w:tc>
      </w:tr>
      <w:tr w:rsidR="004F6F58" w:rsidRPr="004F6F58" w14:paraId="1771F474" w14:textId="77777777" w:rsidTr="004F6F58">
        <w:trPr>
          <w:trHeight w:val="13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0D43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Валюта кредитного договора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C8A3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рубли РФ</w:t>
            </w:r>
          </w:p>
        </w:tc>
      </w:tr>
      <w:tr w:rsidR="004F6F58" w:rsidRPr="004F6F58" w14:paraId="6C2A6578" w14:textId="77777777" w:rsidTr="004F6F58">
        <w:trPr>
          <w:trHeight w:val="339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B473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поручительства 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5CFF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 более 70 процентов</w:t>
            </w:r>
            <w:r w:rsidRPr="004F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суммы обязательств Заемщика по договору с финансовой организацией в пределах установленного максимального объема единовременно выдаваемого поручительства</w:t>
            </w:r>
          </w:p>
        </w:tc>
      </w:tr>
      <w:tr w:rsidR="004F6F58" w:rsidRPr="004F6F58" w14:paraId="020857B1" w14:textId="77777777" w:rsidTr="004F6F58">
        <w:trPr>
          <w:trHeight w:val="842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3ADB3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69D8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 введении режима повышенной готовности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чрезвычайной ситуации 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3648; 2020, N 14, ст. 2028) </w:t>
            </w: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 более 80 процентов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суммы обязательств Заемщика по договору с финансовой организацией в пределах установленного максимального объема единовременно выдаваемого поручительства</w:t>
            </w:r>
          </w:p>
        </w:tc>
      </w:tr>
      <w:tr w:rsidR="004F6F58" w:rsidRPr="004F6F58" w14:paraId="0DFE5DF1" w14:textId="77777777" w:rsidTr="004F6F58">
        <w:trPr>
          <w:trHeight w:val="27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DB13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предоставления 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1D1A" w14:textId="4810C5B5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64 месяцев, при сроке свыше 64 месяцев - по решению Наблюдательного совета</w:t>
            </w:r>
          </w:p>
        </w:tc>
      </w:tr>
      <w:tr w:rsidR="004F6F58" w:rsidRPr="004F6F58" w14:paraId="7DEF37C6" w14:textId="77777777" w:rsidTr="004F6F58">
        <w:trPr>
          <w:trHeight w:val="408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A4D0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вознаграждения (за весь срок действия поручительства)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BD97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0,25% годовых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для вновь зарегистрированных и действующих менее 2 (двух) лет на дату заключения договора поручительства субъектов малого и среднего предпринимательства</w:t>
            </w:r>
          </w:p>
        </w:tc>
      </w:tr>
      <w:tr w:rsidR="004F6F58" w:rsidRPr="004F6F58" w14:paraId="575BB429" w14:textId="77777777" w:rsidTr="004F6F58">
        <w:trPr>
          <w:trHeight w:val="3557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B92AD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D87A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0,75% годовых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для иных субъектов малого и среднего предпринимательства, основным видом деятельности которых является вид деятельности в соответствии со следующими разделами, классами и видами экономической деятельности Общероссийского классификатора видов экономической деятельности (ОК 029-2014): 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- класс 01 «Растениеводство и животноводство»; 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- раздел С «Обрабатывающие производства» за исключением раздела 12 «Производство табачных изделий», раздела 19 «Производство кокса и нефтепродуктов»;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- деятельность в сфере IT-технологий: 26.2 «Производство компьютеров и периферийного оборудования», класс 62 «Разработка компьютерного программного обеспечения, консультационные услуги в данной области и другие сопутствующие услуги»; 58.29 «Издание прочих программных продуктов»; 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- класс 86 «Деятельность в области здравоохранения»; 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- деятельность в сфере туризма (с учетом Приказа Минкультуры России от 25.03.2016 N 687 "Об утверждении собирательной классифицированной группировки видов экономической деятельности "Туризм"): деятельность гостиниц и прочих мест для временного проживания 55.1; деятельность по предоставлению мест для краткосрочного проживания 55.2; деятельность по предоставлению мест для временного проживания в кемпингах, жилых автофургонах и туристических автоприцепах 55.3; деятельность по предоставлению прочих мест для временного проживания 55.9; деятельность организаций общественного питания, поставляющих готовую пищу (для транспортных и строительных компаний, туристическим группам, личному составу вооруженных сил, предприятиям розничной торговли и другим группам потребителей) по договору 56.29.1; деятельность туристических агентств и туроператоров 79.1; услуги по бронированию прочие и сопутствующая деятельность 79.9</w:t>
            </w:r>
          </w:p>
        </w:tc>
      </w:tr>
      <w:tr w:rsidR="004F6F58" w:rsidRPr="004F6F58" w14:paraId="0FA2FCC4" w14:textId="77777777" w:rsidTr="004F6F58">
        <w:trPr>
          <w:trHeight w:val="271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B5BB0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6420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1,0% годовы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- для иных субъектов малого и среднего предпринимательства, осуществляющих иные виды деятельности</w:t>
            </w:r>
          </w:p>
        </w:tc>
      </w:tr>
      <w:tr w:rsidR="004F6F58" w:rsidRPr="004F6F58" w14:paraId="3973DBEC" w14:textId="77777777" w:rsidTr="004F6F58">
        <w:trPr>
          <w:trHeight w:val="275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79635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797F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0,75% годовых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для физических лиц, применяющих специальный налоговый режим «Налог на профессиональный доход»</w:t>
            </w:r>
          </w:p>
        </w:tc>
      </w:tr>
      <w:tr w:rsidR="004F6F58" w:rsidRPr="004F6F58" w14:paraId="371E6BDE" w14:textId="77777777" w:rsidTr="004F6F58">
        <w:trPr>
          <w:trHeight w:val="343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BDF5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вознаграждения (за весь срок действия поручительства) при использовании механизма без повторного андеррайтинга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35F3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0,25% годовых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для вновь зарегистрированных и действующих менее 2 (двух) лет на дату заключения договора поручительства субъектов малого и среднего предпринимательства</w:t>
            </w:r>
          </w:p>
        </w:tc>
      </w:tr>
      <w:tr w:rsidR="004F6F58" w:rsidRPr="004F6F58" w14:paraId="0A09B0DB" w14:textId="77777777" w:rsidTr="004F6F58">
        <w:trPr>
          <w:trHeight w:val="393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CED28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D246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1,0% годовых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для иных субъектов малого и среднего предпринимательства, основным видом деятельности которых является торговая деятельность;</w:t>
            </w:r>
          </w:p>
        </w:tc>
      </w:tr>
      <w:tr w:rsidR="004F6F58" w:rsidRPr="004F6F58" w14:paraId="643B741F" w14:textId="77777777" w:rsidTr="004F6F58">
        <w:trPr>
          <w:trHeight w:val="283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28AD7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264F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0,75% годовы</w:t>
            </w: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- для иных субъектов малого и среднего предпринимательства, осуществляющих иные виды деятельности</w:t>
            </w:r>
          </w:p>
        </w:tc>
      </w:tr>
      <w:tr w:rsidR="004F6F58" w:rsidRPr="004F6F58" w14:paraId="3F80F81C" w14:textId="77777777" w:rsidTr="004F6F58">
        <w:trPr>
          <w:trHeight w:val="47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B7C8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График уплаты вознаграждения 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4A6D" w14:textId="77777777" w:rsidR="004F6F58" w:rsidRPr="004F6F58" w:rsidRDefault="004F6F58" w:rsidP="004F6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6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 при сроке поручительства до 3 лет включительно/50% единовременно + 50% в рассрочку на 12 месяцев при сроке поручительства свыше 3 лет/по решению дирекции</w:t>
            </w:r>
          </w:p>
        </w:tc>
      </w:tr>
    </w:tbl>
    <w:p w14:paraId="087A0561" w14:textId="77777777" w:rsidR="001F59F2" w:rsidRDefault="001F59F2"/>
    <w:sectPr w:rsidR="001F59F2" w:rsidSect="004F6F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9801" w14:textId="77777777" w:rsidR="005E4624" w:rsidRDefault="005E4624" w:rsidP="00876D83">
      <w:pPr>
        <w:spacing w:after="0" w:line="240" w:lineRule="auto"/>
      </w:pPr>
      <w:r>
        <w:separator/>
      </w:r>
    </w:p>
  </w:endnote>
  <w:endnote w:type="continuationSeparator" w:id="0">
    <w:p w14:paraId="50B65F3D" w14:textId="77777777" w:rsidR="005E4624" w:rsidRDefault="005E4624" w:rsidP="0087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0C44A" w14:textId="77777777" w:rsidR="002D1AEE" w:rsidRDefault="002D1A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62694" w14:textId="77777777" w:rsidR="002D1AEE" w:rsidRDefault="002D1AE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47BA" w14:textId="77777777" w:rsidR="002D1AEE" w:rsidRDefault="002D1A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4570" w14:textId="77777777" w:rsidR="005E4624" w:rsidRDefault="005E4624" w:rsidP="00876D83">
      <w:pPr>
        <w:spacing w:after="0" w:line="240" w:lineRule="auto"/>
      </w:pPr>
      <w:r>
        <w:separator/>
      </w:r>
    </w:p>
  </w:footnote>
  <w:footnote w:type="continuationSeparator" w:id="0">
    <w:p w14:paraId="5EEDFAC5" w14:textId="77777777" w:rsidR="005E4624" w:rsidRDefault="005E4624" w:rsidP="00876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EAE6" w14:textId="77777777" w:rsidR="002D1AEE" w:rsidRDefault="002D1A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F5D2" w14:textId="7C38C3F4" w:rsidR="008D5422" w:rsidRDefault="008D5422" w:rsidP="008D5422">
    <w:pPr>
      <w:pStyle w:val="a3"/>
      <w:jc w:val="right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Утв. приказом от </w:t>
    </w:r>
    <w:r w:rsidR="002D1AEE">
      <w:rPr>
        <w:rFonts w:ascii="Times New Roman" w:hAnsi="Times New Roman" w:cs="Times New Roman"/>
        <w:b/>
        <w:bCs/>
        <w:sz w:val="16"/>
        <w:szCs w:val="16"/>
      </w:rPr>
      <w:t>20</w:t>
    </w:r>
    <w:r>
      <w:rPr>
        <w:rFonts w:ascii="Times New Roman" w:hAnsi="Times New Roman" w:cs="Times New Roman"/>
        <w:b/>
        <w:bCs/>
        <w:sz w:val="16"/>
        <w:szCs w:val="16"/>
      </w:rPr>
      <w:t>.0</w:t>
    </w:r>
    <w:r w:rsidR="002D1AEE">
      <w:rPr>
        <w:rFonts w:ascii="Times New Roman" w:hAnsi="Times New Roman" w:cs="Times New Roman"/>
        <w:b/>
        <w:bCs/>
        <w:sz w:val="16"/>
        <w:szCs w:val="16"/>
      </w:rPr>
      <w:t>9</w:t>
    </w:r>
    <w:r>
      <w:rPr>
        <w:rFonts w:ascii="Times New Roman" w:hAnsi="Times New Roman" w:cs="Times New Roman"/>
        <w:b/>
        <w:bCs/>
        <w:sz w:val="16"/>
        <w:szCs w:val="16"/>
      </w:rPr>
      <w:t>.202</w:t>
    </w:r>
    <w:r w:rsidR="004F6F58">
      <w:rPr>
        <w:rFonts w:ascii="Times New Roman" w:hAnsi="Times New Roman" w:cs="Times New Roman"/>
        <w:b/>
        <w:bCs/>
        <w:sz w:val="16"/>
        <w:szCs w:val="16"/>
      </w:rPr>
      <w:t>3</w:t>
    </w:r>
    <w:r>
      <w:rPr>
        <w:rFonts w:ascii="Times New Roman" w:hAnsi="Times New Roman" w:cs="Times New Roman"/>
        <w:b/>
        <w:bCs/>
        <w:sz w:val="16"/>
        <w:szCs w:val="16"/>
      </w:rPr>
      <w:t>г. №</w:t>
    </w:r>
    <w:r w:rsidR="004F6F58">
      <w:rPr>
        <w:rFonts w:ascii="Times New Roman" w:hAnsi="Times New Roman" w:cs="Times New Roman"/>
        <w:b/>
        <w:bCs/>
        <w:sz w:val="16"/>
        <w:szCs w:val="16"/>
      </w:rPr>
      <w:t>1</w:t>
    </w:r>
    <w:r w:rsidR="002D1AEE">
      <w:rPr>
        <w:rFonts w:ascii="Times New Roman" w:hAnsi="Times New Roman" w:cs="Times New Roman"/>
        <w:b/>
        <w:bCs/>
        <w:sz w:val="16"/>
        <w:szCs w:val="16"/>
      </w:rPr>
      <w:t>8</w:t>
    </w:r>
    <w:r>
      <w:rPr>
        <w:rFonts w:ascii="Times New Roman" w:hAnsi="Times New Roman" w:cs="Times New Roman"/>
        <w:b/>
        <w:bCs/>
        <w:sz w:val="16"/>
        <w:szCs w:val="16"/>
      </w:rPr>
      <w:t>-од</w:t>
    </w:r>
  </w:p>
  <w:p w14:paraId="2A8BB2A9" w14:textId="740CFAAB" w:rsidR="00876D83" w:rsidRPr="00876D83" w:rsidRDefault="00876D83" w:rsidP="00876D83">
    <w:pPr>
      <w:pStyle w:val="a3"/>
      <w:jc w:val="center"/>
      <w:rPr>
        <w:rFonts w:ascii="Times New Roman" w:hAnsi="Times New Roman" w:cs="Times New Roman"/>
        <w:b/>
        <w:bCs/>
        <w:sz w:val="50"/>
        <w:szCs w:val="50"/>
      </w:rPr>
    </w:pPr>
    <w:r w:rsidRPr="00876D83">
      <w:rPr>
        <w:rFonts w:ascii="Times New Roman" w:hAnsi="Times New Roman" w:cs="Times New Roman"/>
        <w:b/>
        <w:bCs/>
        <w:sz w:val="50"/>
        <w:szCs w:val="50"/>
      </w:rPr>
      <w:t>Паспорт продукта «Стандарт»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4D1C" w14:textId="77777777" w:rsidR="002D1AEE" w:rsidRDefault="002D1A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83"/>
    <w:rsid w:val="000F7C19"/>
    <w:rsid w:val="001C7218"/>
    <w:rsid w:val="001F59F2"/>
    <w:rsid w:val="002D1AEE"/>
    <w:rsid w:val="004F6F58"/>
    <w:rsid w:val="005E4624"/>
    <w:rsid w:val="0061279A"/>
    <w:rsid w:val="0086197B"/>
    <w:rsid w:val="00876D83"/>
    <w:rsid w:val="008B1592"/>
    <w:rsid w:val="008D5422"/>
    <w:rsid w:val="00AF4715"/>
    <w:rsid w:val="00C95A1B"/>
    <w:rsid w:val="00F4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939A"/>
  <w15:chartTrackingRefBased/>
  <w15:docId w15:val="{530B34B6-E9C6-4B6E-9131-942505E3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6D83"/>
  </w:style>
  <w:style w:type="paragraph" w:styleId="a5">
    <w:name w:val="footer"/>
    <w:basedOn w:val="a"/>
    <w:link w:val="a6"/>
    <w:uiPriority w:val="99"/>
    <w:unhideWhenUsed/>
    <w:rsid w:val="0087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6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662</Words>
  <Characters>3779</Characters>
  <Application>Microsoft Office Word</Application>
  <DocSecurity>0</DocSecurity>
  <Lines>31</Lines>
  <Paragraphs>8</Paragraphs>
  <ScaleCrop>false</ScaleCrop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Н. Молев</dc:creator>
  <cp:keywords/>
  <dc:description/>
  <cp:lastModifiedBy>Николай Н. Молев</cp:lastModifiedBy>
  <cp:revision>11</cp:revision>
  <dcterms:created xsi:type="dcterms:W3CDTF">2021-02-04T11:13:00Z</dcterms:created>
  <dcterms:modified xsi:type="dcterms:W3CDTF">2023-09-21T07:14:00Z</dcterms:modified>
</cp:coreProperties>
</file>