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Y="1"/>
        <w:tblOverlap w:val="never"/>
        <w:tblW w:w="14743" w:type="dxa"/>
        <w:tblLook w:val="04A0" w:firstRow="1" w:lastRow="0" w:firstColumn="1" w:lastColumn="0" w:noHBand="0" w:noVBand="1"/>
      </w:tblPr>
      <w:tblGrid>
        <w:gridCol w:w="2170"/>
        <w:gridCol w:w="12573"/>
      </w:tblGrid>
      <w:tr w:rsidR="00850D0A" w:rsidRPr="00850D0A" w14:paraId="25BA6883" w14:textId="77777777" w:rsidTr="00850D0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CBC3968" w14:textId="77777777" w:rsidR="00850D0A" w:rsidRPr="00850D0A" w:rsidRDefault="00850D0A" w:rsidP="00850D0A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F30959" w14:textId="610DA595" w:rsidR="00850D0A" w:rsidRPr="00850D0A" w:rsidRDefault="00850D0A" w:rsidP="00850D0A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2"/>
                <w:szCs w:val="22"/>
                <w:lang w:eastAsia="ru-RU"/>
                <w14:ligatures w14:val="none"/>
              </w:rPr>
              <w:t>Приложение 1 к Приказу от 20.11.2025 г. № 38-од</w:t>
            </w:r>
          </w:p>
        </w:tc>
      </w:tr>
      <w:tr w:rsidR="00850D0A" w:rsidRPr="00850D0A" w14:paraId="191420E7" w14:textId="77777777" w:rsidTr="00850D0A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8C4CD6" w14:textId="417AB001" w:rsidR="00850D0A" w:rsidRPr="00876D83" w:rsidRDefault="00850D0A" w:rsidP="00850D0A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</w:pPr>
            <w:r w:rsidRPr="00876D83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Паспорт продукта «</w:t>
            </w:r>
            <w:r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Приоритет</w:t>
            </w:r>
            <w:r w:rsidRPr="00876D83">
              <w:rPr>
                <w:rFonts w:ascii="Times New Roman" w:hAnsi="Times New Roman" w:cs="Times New Roman"/>
                <w:b/>
                <w:bCs/>
                <w:sz w:val="50"/>
                <w:szCs w:val="50"/>
              </w:rPr>
              <w:t>»</w:t>
            </w:r>
          </w:p>
          <w:p w14:paraId="7B482082" w14:textId="2A79E67F" w:rsidR="00850D0A" w:rsidRPr="00850D0A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2"/>
                <w:szCs w:val="22"/>
                <w:lang w:eastAsia="ru-RU"/>
                <w14:ligatures w14:val="none"/>
              </w:rPr>
            </w:pPr>
          </w:p>
        </w:tc>
      </w:tr>
      <w:tr w:rsidR="00850D0A" w:rsidRPr="00850D0A" w14:paraId="3D6C938D" w14:textId="77777777" w:rsidTr="00850D0A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3EF331" w14:textId="77777777" w:rsidR="00850D0A" w:rsidRPr="00850D0A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Параметры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047E42" w14:textId="77777777" w:rsidR="00850D0A" w:rsidRPr="00850D0A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Значение</w:t>
            </w:r>
          </w:p>
        </w:tc>
      </w:tr>
      <w:tr w:rsidR="00850D0A" w:rsidRPr="00850D0A" w14:paraId="646A4B27" w14:textId="77777777" w:rsidTr="00850D0A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55F85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Цель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E15E2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Предоставление поручительств по кредитным договорам/договорам банковской гарантии/договорам лизинга/иным договорам</w:t>
            </w:r>
          </w:p>
        </w:tc>
      </w:tr>
      <w:tr w:rsidR="00850D0A" w:rsidRPr="00850D0A" w14:paraId="1D869B00" w14:textId="77777777" w:rsidTr="00850D0A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D1FF04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Целевая аудитория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FE439" w14:textId="77777777" w:rsid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Субъекты малого и среднего предпринимательства,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зарегистрированные в соответствии с действующим законодательством Российской Федерации и осуществляющие свою деятельность на территории Ивановской области, соответствующие критериям, установленными Порядком  предоставления поручительств Центра </w:t>
            </w:r>
            <w:r w:rsidRPr="00850D0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, а также реализующие на дату заключения договора поручительства приоритетные проекты/осуществляющие приоритетные виды деятельности в соответствии с Общероссийским классификатором видов экономической деятельности (ОК 029-2014 (КДЕС Ред. 2) (далее – ОКВЭД) согласно Постановлению Правительства Ивановской области от 13.11.2013 N 459-п "Об утверждении государственной программы Ивановской области "Экономическое развитие и инновационная экономика Ивановской области", а именно</w:t>
            </w:r>
            <w:r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:</w:t>
            </w:r>
          </w:p>
          <w:p w14:paraId="7F313336" w14:textId="60EC7E20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850D0A" w:rsidRPr="00850D0A" w14:paraId="2CC46B5D" w14:textId="77777777" w:rsidTr="00850D0A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F5168E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DF23B" w14:textId="3A347AF7" w:rsid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обрабатывающие производства (в рамках раздела C «Обрабатывающие производства» ОКВЭД)</w:t>
            </w:r>
          </w:p>
          <w:p w14:paraId="2635F452" w14:textId="597C2F69" w:rsidR="00850D0A" w:rsidRP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деятельность гостиниц и предприятий общественного питания (в рамках раздела I «Деятельность гостиниц и предприятий общественного питания» ОКВЭД)</w:t>
            </w:r>
          </w:p>
          <w:p w14:paraId="7EEAB0EC" w14:textId="7301BBFD" w:rsidR="00850D0A" w:rsidRP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деятельность в области информации и связи (в рамках раздела J «Деятельность в области информации и связи» ОКВЭД)</w:t>
            </w:r>
          </w:p>
          <w:p w14:paraId="0C924459" w14:textId="47A230FA" w:rsidR="00850D0A" w:rsidRPr="00850D0A" w:rsidRDefault="008141E7" w:rsidP="008141E7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="00850D0A"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деятельность профессиональная, научная и техническая (в рамках раздела M «Деятельность профессиональная, научная и техническая» ОКВЭД)</w:t>
            </w:r>
          </w:p>
          <w:p w14:paraId="6254D27C" w14:textId="1A55A52A" w:rsidR="00850D0A" w:rsidRP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деятельность в сфере туризма (в рамках класса 79 раздела N «Деятельность административная и сопутствующие услуги» ОКВЭД)</w:t>
            </w:r>
          </w:p>
          <w:p w14:paraId="6B1BDC2D" w14:textId="540921DB" w:rsidR="00850D0A" w:rsidRPr="00850D0A" w:rsidRDefault="008141E7" w:rsidP="008141E7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="00850D0A"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субъект МСП является вновь зарегистрированным или действующим менее 2 лет на дату заключения договора (соглашения) о предоставлении поручительства</w:t>
            </w:r>
          </w:p>
          <w:p w14:paraId="26DA913A" w14:textId="73C41B30" w:rsidR="00850D0A" w:rsidRP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субъект МСП является субъектом креативной индустрии в соответствии с Федеральным законом от 8 августа 2024 г. № 330-ФЗ «О развитии креативных (творческих) индустрий в Российской Федерации», соответствующим критериям отнесения к субъектам креативных индустрий, установленным нормативными правовыми актами Ивановской области</w:t>
            </w:r>
          </w:p>
          <w:p w14:paraId="2A0220AF" w14:textId="238545E0" w:rsidR="00850D0A" w:rsidRP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субъект МСП осуществляет экспортную деятельность</w:t>
            </w:r>
          </w:p>
          <w:p w14:paraId="2EAC9F69" w14:textId="57629F5D" w:rsidR="00850D0A" w:rsidRPr="00850D0A" w:rsidRDefault="008141E7" w:rsidP="008141E7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субъект </w:t>
            </w:r>
            <w:r w:rsidR="00850D0A"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МСП, признанный в установленном Федеральным законом от 24.07.2007 N 209-ФЗ "О развитии малого и среднего предпринимательства в Российской Федерации" порядке социальными предприятиями и сведения о наличии статуса социального предприятия которых внесены в единый реестр СМСП</w:t>
            </w:r>
          </w:p>
          <w:p w14:paraId="2F6C3DB6" w14:textId="7442F654" w:rsidR="00850D0A" w:rsidRP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субъект МСП, реализующий и (или) планирующий реализацию программ повышения производительности труда. (СМСП заключил/имеет намерения заключить договор с Региональным центром компетенций в сфере повышения производительности труда (РЦК) в рамках реализации проекта в сфере повышения производительности труда Федерального проекта "Производительность труда"). Подтверждается наличием утвержденных (одобренных, сформированных) документов, необходимых для реализации программ повышения производительности труда. </w:t>
            </w:r>
          </w:p>
          <w:p w14:paraId="66883C4B" w14:textId="1A9D1D5A" w:rsidR="00850D0A" w:rsidRP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субъект МСП, включенный в реестр малых технологических компаний (по сведениям из реестра МТК с сайта  https://vzlet.economy.gov.ru/startups). </w:t>
            </w:r>
          </w:p>
          <w:p w14:paraId="137DE689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При наличии информации о СМСП в реестре подтвердить выпиской из реестра МТК с использованием сервиса Госуслуги.</w:t>
            </w:r>
          </w:p>
          <w:p w14:paraId="6001CEB7" w14:textId="077C613D" w:rsidR="00850D0A" w:rsidRP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Образование (в рамках раздела Р «Образование» ОКВЭД) (ОКВЭД 85)</w:t>
            </w:r>
          </w:p>
          <w:p w14:paraId="40641E1E" w14:textId="592E9421" w:rsidR="00850D0A" w:rsidRP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деятельность в области здравоохранения и социальных услуг (в рамках раздела Q "Деятельность в области здравоохранения и социальных услуг" ОКВЭД, за исключением подгрупп 86.22.1 "Деятельность в области косметологии", 86.90.1 "Деятельность организаций санитарно-эпидемиологической службы", 86.90.2 "Деятельность организаций судебно-медицинской экспертизы", 86.90.3 "Деятельность массажных салонов"</w:t>
            </w:r>
          </w:p>
          <w:p w14:paraId="6D1B19C4" w14:textId="0D718526" w:rsidR="00850D0A" w:rsidRDefault="00850D0A" w:rsidP="00850D0A">
            <w:pPr>
              <w:spacing w:after="0" w:line="240" w:lineRule="auto"/>
              <w:ind w:firstLine="415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-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деятельность в области спорта, отдыха и развлечений (в рамках класса 93 раздела R "Деятельность в области культуры, спорта, организации досуга и развлечений" ОКВЭД, за исключением подкласса 93.2 "Деятельность в области отдыха и развлечений")</w:t>
            </w:r>
          </w:p>
          <w:p w14:paraId="086F3156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</w:tr>
      <w:tr w:rsidR="00850D0A" w:rsidRPr="00850D0A" w14:paraId="4E332658" w14:textId="77777777" w:rsidTr="00850D0A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A7DDFF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Валюта кредитного договора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C3969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рубли РФ</w:t>
            </w:r>
          </w:p>
        </w:tc>
      </w:tr>
      <w:tr w:rsidR="00850D0A" w:rsidRPr="00850D0A" w14:paraId="40B15F5F" w14:textId="77777777" w:rsidTr="00850D0A">
        <w:trPr>
          <w:trHeight w:val="20"/>
        </w:trPr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52D676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lastRenderedPageBreak/>
              <w:t xml:space="preserve">Сумма поручительства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A3433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не более 70 процентов</w:t>
            </w:r>
            <w:r w:rsidRPr="00850D0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 xml:space="preserve"> от суммы обязательств Заемщика по договору с финансовой организацией в пределах установленного максимального объема единовременно выдаваемого поручительства</w:t>
            </w:r>
          </w:p>
        </w:tc>
      </w:tr>
      <w:tr w:rsidR="00850D0A" w:rsidRPr="00850D0A" w14:paraId="260B0F67" w14:textId="77777777" w:rsidTr="00850D0A">
        <w:trPr>
          <w:trHeight w:val="2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A486FE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A30E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при введении режима повышенной готовности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, чрезвычайной ситуации в соответствии с Федеральным законом от 21 декабря 1994 г. N 68-ФЗ "О защите населения и территорий от чрезвычайных ситуаций природного и техногенного характера" (Собрание законодательства Российской Федерации, 1994, N 35, ст. 3648; 2020, N 14, ст. 2028) </w:t>
            </w:r>
            <w:r w:rsidRPr="00850D0A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>не более 80 процентов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 от суммы обязательств Заемщика по договору с финансовой организацией в пределах установленного максимального объема единовременно выдаваемого поручительства</w:t>
            </w:r>
          </w:p>
        </w:tc>
      </w:tr>
      <w:tr w:rsidR="00850D0A" w:rsidRPr="00850D0A" w14:paraId="67F64D73" w14:textId="77777777" w:rsidTr="00850D0A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AA88E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103A9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b/>
                <w:bCs/>
                <w:kern w:val="0"/>
                <w:sz w:val="20"/>
                <w:szCs w:val="20"/>
                <w:lang w:eastAsia="ru-RU"/>
                <w14:ligatures w14:val="none"/>
              </w:rPr>
              <w:t xml:space="preserve">не более 95% </w:t>
            </w: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от суммы неисполненных обязательств (при гарантийном капитале Центра свыше 700 млн. руб.) при условии, что стоимость прав на объекты интеллектуальной собственности, принадлежащих субъекту МСП, подтвержденная отчетом о проведении независимой оценки, превышает размер запрошенного поручительства</w:t>
            </w:r>
          </w:p>
        </w:tc>
      </w:tr>
      <w:tr w:rsidR="00850D0A" w:rsidRPr="00850D0A" w14:paraId="6669F9B6" w14:textId="77777777" w:rsidTr="00850D0A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6138F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Срок предоставления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94C89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до 64 месяцев, при сроке свыше 64 месяцев  - по решению Наблюдательного совета</w:t>
            </w:r>
          </w:p>
        </w:tc>
      </w:tr>
      <w:tr w:rsidR="00850D0A" w:rsidRPr="00850D0A" w14:paraId="5074C51A" w14:textId="77777777" w:rsidTr="00850D0A">
        <w:trPr>
          <w:trHeight w:val="2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9DA212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Ставка вознаграждения, % годовых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560B" w14:textId="77777777" w:rsidR="00850D0A" w:rsidRPr="00850D0A" w:rsidRDefault="00850D0A" w:rsidP="00850D0A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>0,75</w:t>
            </w:r>
          </w:p>
        </w:tc>
      </w:tr>
      <w:tr w:rsidR="00850D0A" w:rsidRPr="00850D0A" w14:paraId="5C108472" w14:textId="77777777" w:rsidTr="00850D0A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A5FDF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eastAsia="ru-RU"/>
                <w14:ligatures w14:val="none"/>
              </w:rPr>
              <w:t xml:space="preserve">График уплаты вознаграждения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CB74B" w14:textId="77777777" w:rsidR="00850D0A" w:rsidRPr="00850D0A" w:rsidRDefault="00850D0A" w:rsidP="00850D0A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</w:pPr>
            <w:r w:rsidRPr="00850D0A">
              <w:rPr>
                <w:rFonts w:asciiTheme="majorBidi" w:eastAsia="Times New Roman" w:hAnsiTheme="majorBidi" w:cstheme="majorBidi"/>
                <w:color w:val="000000"/>
                <w:kern w:val="0"/>
                <w:sz w:val="20"/>
                <w:szCs w:val="20"/>
                <w:lang w:eastAsia="ru-RU"/>
                <w14:ligatures w14:val="none"/>
              </w:rPr>
              <w:t>единовременно /по решению дирекции</w:t>
            </w:r>
          </w:p>
        </w:tc>
      </w:tr>
    </w:tbl>
    <w:p w14:paraId="2934131C" w14:textId="19D37A75" w:rsidR="0032162A" w:rsidRPr="00850D0A" w:rsidRDefault="00850D0A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textWrapping" w:clear="all"/>
      </w:r>
    </w:p>
    <w:sectPr w:rsidR="0032162A" w:rsidRPr="00850D0A" w:rsidSect="00850D0A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F12"/>
    <w:rsid w:val="00280ADA"/>
    <w:rsid w:val="0032162A"/>
    <w:rsid w:val="008141E7"/>
    <w:rsid w:val="00850D0A"/>
    <w:rsid w:val="00986F7A"/>
    <w:rsid w:val="00A34C1C"/>
    <w:rsid w:val="00CD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C7826"/>
  <w15:chartTrackingRefBased/>
  <w15:docId w15:val="{A192C834-1A16-42AF-935C-6D057187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6F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6F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6F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6F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6F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6F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6F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6F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6F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D6F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D6F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D6F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D6F1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D6F1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D6F1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D6F1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D6F1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D6F1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D6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D6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6F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D6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D6F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D6F1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D6F1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D6F1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D6F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D6F1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CD6F12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850D0A"/>
    <w:pPr>
      <w:tabs>
        <w:tab w:val="center" w:pos="4677"/>
        <w:tab w:val="right" w:pos="9355"/>
      </w:tabs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d">
    <w:name w:val="Верхний колонтитул Знак"/>
    <w:basedOn w:val="a0"/>
    <w:link w:val="ac"/>
    <w:uiPriority w:val="99"/>
    <w:rsid w:val="00850D0A"/>
    <w:rPr>
      <w:kern w:val="0"/>
      <w:sz w:val="22"/>
      <w:szCs w:val="22"/>
      <w14:ligatures w14:val="none"/>
    </w:rPr>
  </w:style>
  <w:style w:type="character" w:styleId="ae">
    <w:name w:val="annotation reference"/>
    <w:basedOn w:val="a0"/>
    <w:uiPriority w:val="99"/>
    <w:semiHidden/>
    <w:unhideWhenUsed/>
    <w:rsid w:val="00850D0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850D0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850D0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850D0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850D0A"/>
    <w:rPr>
      <w:b/>
      <w:bCs/>
      <w:sz w:val="20"/>
      <w:szCs w:val="20"/>
    </w:rPr>
  </w:style>
  <w:style w:type="paragraph" w:styleId="af3">
    <w:name w:val="Revision"/>
    <w:hidden/>
    <w:uiPriority w:val="99"/>
    <w:semiHidden/>
    <w:rsid w:val="00850D0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770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Безрукова Мария</dc:creator>
  <cp:keywords/>
  <dc:description/>
  <cp:lastModifiedBy>Безрукова Мария</cp:lastModifiedBy>
  <cp:revision>2</cp:revision>
  <dcterms:created xsi:type="dcterms:W3CDTF">2025-11-27T09:23:00Z</dcterms:created>
  <dcterms:modified xsi:type="dcterms:W3CDTF">2025-11-27T09:39:00Z</dcterms:modified>
</cp:coreProperties>
</file>